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41926"/>
          <w:sz w:val="52"/>
        </w:rPr>
        <w:t>VEHICLE-SUPRA Funding Brief v1</w:t>
      </w:r>
    </w:p>
    <w:p>
      <w:pPr>
        <w:jc w:val="center"/>
      </w:pPr>
      <w:r>
        <w:rPr>
          <w:b/>
          <w:color w:val="145F82"/>
          <w:sz w:val="28"/>
        </w:rPr>
        <w:t>Autonomous and Extreme Environment Systems</w:t>
      </w:r>
    </w:p>
    <w:p/>
    <w:p>
      <w:pPr>
        <w:jc w:val="center"/>
      </w:pPr>
      <w:r>
        <w:rPr>
          <w:b/>
          <w:color w:val="145F82"/>
          <w:sz w:val="22"/>
        </w:rPr>
        <w:t>FUNDING BRIEF</w:t>
      </w:r>
    </w:p>
    <w:tbl>
      <w:tblPr>
        <w:tblStyle w:val="TableGrid"/>
        <w:tblW w:type="auto" w:w="0"/>
        <w:tblLook w:firstColumn="1" w:firstRow="1" w:lastColumn="0" w:lastRow="0" w:noHBand="0" w:noVBand="1" w:val="04A0"/>
      </w:tblPr>
      <w:tblGrid>
        <w:gridCol w:w="5112"/>
        <w:gridCol w:w="5112"/>
      </w:tblGrid>
      <w:tr>
        <w:tc>
          <w:tcPr>
            <w:tcW w:type="dxa" w:w="5112"/>
            <w:shd w:fill="0B1A2A"/>
          </w:tcPr>
          <w:p>
            <w:r/>
            <w:r>
              <w:rPr>
                <w:b/>
                <w:color w:val="FFFFFF"/>
                <w:sz w:val="18"/>
              </w:rPr>
              <w:t>Project</w:t>
            </w:r>
          </w:p>
        </w:tc>
        <w:tc>
          <w:tcPr>
            <w:tcW w:type="dxa" w:w="5112"/>
            <w:shd w:fill="F4F7FA"/>
          </w:tcPr>
          <w:p>
            <w:r>
              <w:rPr>
                <w:sz w:val="18"/>
              </w:rPr>
              <w:t>VEHICLE-SUPRA</w:t>
            </w:r>
          </w:p>
        </w:tc>
      </w:tr>
      <w:tr>
        <w:tc>
          <w:tcPr>
            <w:tcW w:type="dxa" w:w="5112"/>
            <w:shd w:fill="0B1A2A"/>
          </w:tcPr>
          <w:p>
            <w:r/>
            <w:r>
              <w:rPr>
                <w:b/>
                <w:color w:val="FFFFFF"/>
                <w:sz w:val="18"/>
              </w:rPr>
              <w:t>Developed by</w:t>
            </w:r>
          </w:p>
        </w:tc>
        <w:tc>
          <w:tcPr>
            <w:tcW w:type="dxa" w:w="5112"/>
            <w:shd w:fill="F4F7FA"/>
          </w:tcPr>
          <w:p>
            <w:r>
              <w:rPr>
                <w:sz w:val="18"/>
              </w:rPr>
              <w:t>VEHICLE Systems Lab</w:t>
            </w:r>
          </w:p>
        </w:tc>
      </w:tr>
      <w:tr>
        <w:tc>
          <w:tcPr>
            <w:tcW w:type="dxa" w:w="5112"/>
            <w:shd w:fill="0B1A2A"/>
          </w:tcPr>
          <w:p>
            <w:r/>
            <w:r>
              <w:rPr>
                <w:b/>
                <w:color w:val="FFFFFF"/>
                <w:sz w:val="18"/>
              </w:rPr>
              <w:t>Website</w:t>
            </w:r>
          </w:p>
        </w:tc>
        <w:tc>
          <w:tcPr>
            <w:tcW w:type="dxa" w:w="5112"/>
            <w:shd w:fill="F4F7FA"/>
          </w:tcPr>
          <w:p>
            <w:r>
              <w:rPr>
                <w:sz w:val="18"/>
              </w:rPr>
              <w:t>https://vehiclesystemslab.com</w:t>
            </w:r>
          </w:p>
        </w:tc>
      </w:tr>
      <w:tr>
        <w:tc>
          <w:tcPr>
            <w:tcW w:type="dxa" w:w="5112"/>
            <w:shd w:fill="0B1A2A"/>
          </w:tcPr>
          <w:p>
            <w:r/>
            <w:r>
              <w:rPr>
                <w:b/>
                <w:color w:val="FFFFFF"/>
                <w:sz w:val="18"/>
              </w:rPr>
              <w:t>Contact</w:t>
            </w:r>
          </w:p>
        </w:tc>
        <w:tc>
          <w:tcPr>
            <w:tcW w:type="dxa" w:w="5112"/>
            <w:shd w:fill="F4F7FA"/>
          </w:tcPr>
          <w:p>
            <w:r>
              <w:rPr>
                <w:sz w:val="18"/>
              </w:rPr>
              <w:t>contact@vehiclesystemslab.com</w:t>
            </w:r>
          </w:p>
        </w:tc>
      </w:tr>
      <w:tr>
        <w:tc>
          <w:tcPr>
            <w:tcW w:type="dxa" w:w="5112"/>
            <w:shd w:fill="0B1A2A"/>
          </w:tcPr>
          <w:p>
            <w:r/>
            <w:r>
              <w:rPr>
                <w:b/>
                <w:color w:val="FFFFFF"/>
                <w:sz w:val="18"/>
              </w:rPr>
              <w:t>Associated record</w:t>
            </w:r>
          </w:p>
        </w:tc>
        <w:tc>
          <w:tcPr>
            <w:tcW w:type="dxa" w:w="5112"/>
            <w:shd w:fill="F4F7FA"/>
          </w:tcPr>
          <w:p>
            <w:r>
              <w:rPr>
                <w:sz w:val="18"/>
              </w:rPr>
              <w:t>DOI 10.5281/zenodo.19981738</w:t>
            </w:r>
          </w:p>
        </w:tc>
      </w:tr>
      <w:tr>
        <w:tc>
          <w:tcPr>
            <w:tcW w:type="dxa" w:w="5112"/>
            <w:shd w:fill="0B1A2A"/>
          </w:tcPr>
          <w:p>
            <w:r/>
            <w:r>
              <w:rPr>
                <w:b/>
                <w:color w:val="FFFFFF"/>
                <w:sz w:val="18"/>
              </w:rPr>
              <w:t>Status</w:t>
            </w:r>
          </w:p>
        </w:tc>
        <w:tc>
          <w:tcPr>
            <w:tcW w:type="dxa" w:w="5112"/>
            <w:shd w:fill="F4F7FA"/>
          </w:tcPr>
          <w:p>
            <w:r>
              <w:rPr>
                <w:sz w:val="18"/>
              </w:rPr>
              <w:t>Experimental architecture, premium HTML demo and investor-ready concept</w:t>
            </w:r>
          </w:p>
        </w:tc>
      </w:tr>
    </w:tbl>
    <w:p/>
    <w:p>
      <w:pPr>
        <w:pStyle w:val="Heading1"/>
      </w:pPr>
      <w:r>
        <w:t>Executive Funding Summary</w:t>
      </w:r>
    </w:p>
    <w:p>
      <w:r>
        <w:t>Funding is requested to develop VEHICLE-SUPRA from a premium HTML demonstration and experimental architecture into a validated prototype track for autonomous systems, lunar-oriented models, extreme environments and advanced operational interfaces.</w:t>
      </w:r>
    </w:p>
    <w:p>
      <w:r>
        <w:t>SUPRA is not a request for a single software screen. It is a technology research line inside VEHICLE Systems Lab, designed to produce auditable autonomy concepts, simulation environments, mission surfaces and human-supervised decision-support architectures.</w:t>
      </w:r>
    </w:p>
    <w:p>
      <w:pPr>
        <w:pStyle w:val="Heading1"/>
      </w:pPr>
      <w:r>
        <w:t>1. Funding Purpose</w:t>
      </w:r>
    </w:p>
    <w:p>
      <w:pPr>
        <w:pStyle w:val="ListBullet"/>
      </w:pPr>
      <w:r>
        <w:t>Consolidate the SUPRA technical architecture</w:t>
      </w:r>
    </w:p>
    <w:p>
      <w:pPr>
        <w:pStyle w:val="ListBullet"/>
      </w:pPr>
      <w:r>
        <w:t>Package and publish the premium demo</w:t>
      </w:r>
    </w:p>
    <w:p>
      <w:pPr>
        <w:pStyle w:val="ListBullet"/>
      </w:pPr>
      <w:r>
        <w:t>Develop formal simulation scenarios</w:t>
      </w:r>
    </w:p>
    <w:p>
      <w:pPr>
        <w:pStyle w:val="ListBullet"/>
      </w:pPr>
      <w:r>
        <w:t>Create a prototype data model for autonomous nodes</w:t>
      </w:r>
    </w:p>
    <w:p>
      <w:pPr>
        <w:pStyle w:val="ListBullet"/>
      </w:pPr>
      <w:r>
        <w:t>Document recovery and twin activation logic</w:t>
      </w:r>
    </w:p>
    <w:p>
      <w:pPr>
        <w:pStyle w:val="ListBullet"/>
      </w:pPr>
      <w:r>
        <w:t>Prepare institutional and space-sector review materials</w:t>
      </w:r>
    </w:p>
    <w:p>
      <w:pPr>
        <w:pStyle w:val="ListBullet"/>
      </w:pPr>
      <w:r>
        <w:t>Support VEHICLE Systems Lab as a technology research laboratory</w:t>
      </w:r>
    </w:p>
    <w:p>
      <w:pPr>
        <w:pStyle w:val="Heading1"/>
      </w:pPr>
      <w:r>
        <w:t>2. Why This Project Matters</w:t>
      </w:r>
    </w:p>
    <w:p>
      <w:r>
        <w:t>Autonomous systems are increasingly expected to operate in environments where human operators cannot intervene instantly. Lunar missions, remote robotics, disaster zones and defensive logistics require systems that remain coherent, explainable and recoverable under pressure.</w:t>
      </w:r>
    </w:p>
    <w:p>
      <w:r>
        <w:t>SUPRA matters because it turns autonomous resilience into an auditable mission architecture. It makes faults, recovery, cascade behavior and twin activation visible to humans.</w:t>
      </w:r>
    </w:p>
    <w:p>
      <w:pPr>
        <w:pStyle w:val="Heading1"/>
      </w:pPr>
      <w:r>
        <w:t>3. Current Status</w:t>
      </w:r>
    </w:p>
    <w:p>
      <w:pPr>
        <w:pStyle w:val="ListBullet"/>
      </w:pPr>
      <w:r>
        <w:t>Premium HTML demo available</w:t>
      </w:r>
    </w:p>
    <w:p>
      <w:pPr>
        <w:pStyle w:val="ListBullet"/>
      </w:pPr>
      <w:r>
        <w:t>Lunar command surface with four rover nodes</w:t>
      </w:r>
    </w:p>
    <w:p>
      <w:pPr>
        <w:pStyle w:val="ListBullet"/>
      </w:pPr>
      <w:r>
        <w:t>Fault injection and cascade interaction</w:t>
      </w:r>
    </w:p>
    <w:p>
      <w:pPr>
        <w:pStyle w:val="ListBullet"/>
      </w:pPr>
      <w:r>
        <w:t>A0-A6 operational regimes</w:t>
      </w:r>
    </w:p>
    <w:p>
      <w:pPr>
        <w:pStyle w:val="ListBullet"/>
      </w:pPr>
      <w:r>
        <w:t>E.I.A.R.(V) radar and T(X) timeline</w:t>
      </w:r>
    </w:p>
    <w:p>
      <w:pPr>
        <w:pStyle w:val="ListBullet"/>
      </w:pPr>
      <w:r>
        <w:t>Twin recovery visualization</w:t>
      </w:r>
    </w:p>
    <w:p>
      <w:pPr>
        <w:pStyle w:val="ListBullet"/>
      </w:pPr>
      <w:r>
        <w:t>Technical and funding documentation prepared</w:t>
      </w:r>
    </w:p>
    <w:p>
      <w:pPr>
        <w:pStyle w:val="ListBullet"/>
      </w:pPr>
      <w:r>
        <w:t>Demo package ready for publication</w:t>
      </w:r>
    </w:p>
    <w:p>
      <w:pPr>
        <w:pStyle w:val="Heading1"/>
      </w:pPr>
      <w:r>
        <w:t>4. What Funding Will Enable</w:t>
      </w:r>
    </w:p>
    <w:p>
      <w:pPr>
        <w:pStyle w:val="Heading2"/>
      </w:pPr>
      <w:r>
        <w:t>Technical Development</w:t>
      </w:r>
    </w:p>
    <w:p>
      <w:pPr>
        <w:pStyle w:val="ListBullet"/>
      </w:pPr>
      <w:r>
        <w:t>Improve the demo into a modular prototype</w:t>
      </w:r>
    </w:p>
    <w:p>
      <w:pPr>
        <w:pStyle w:val="ListBullet"/>
      </w:pPr>
      <w:r>
        <w:t>Implement structured input/output examples</w:t>
      </w:r>
    </w:p>
    <w:p>
      <w:pPr>
        <w:pStyle w:val="ListBullet"/>
      </w:pPr>
      <w:r>
        <w:t>Create mission-state data models</w:t>
      </w:r>
    </w:p>
    <w:p>
      <w:pPr>
        <w:pStyle w:val="ListBullet"/>
      </w:pPr>
      <w:r>
        <w:t>Add audit logs and scenario export</w:t>
      </w:r>
    </w:p>
    <w:p>
      <w:pPr>
        <w:pStyle w:val="Heading2"/>
      </w:pPr>
      <w:r>
        <w:t>Simulation and Validation</w:t>
      </w:r>
    </w:p>
    <w:p>
      <w:pPr>
        <w:pStyle w:val="ListBullet"/>
      </w:pPr>
      <w:r>
        <w:t>Define lunar and extreme-environment scenarios</w:t>
      </w:r>
    </w:p>
    <w:p>
      <w:pPr>
        <w:pStyle w:val="ListBullet"/>
      </w:pPr>
      <w:r>
        <w:t>Model fault, recovery and cascade dynamics</w:t>
      </w:r>
    </w:p>
    <w:p>
      <w:pPr>
        <w:pStyle w:val="ListBullet"/>
      </w:pPr>
      <w:r>
        <w:t>Test recovery thresholds and twin activation conditions</w:t>
      </w:r>
    </w:p>
    <w:p>
      <w:pPr>
        <w:pStyle w:val="ListBullet"/>
      </w:pPr>
      <w:r>
        <w:t>Prepare validation reports</w:t>
      </w:r>
    </w:p>
    <w:p>
      <w:pPr>
        <w:pStyle w:val="Heading2"/>
      </w:pPr>
      <w:r>
        <w:t>Institutional Readiness</w:t>
      </w:r>
    </w:p>
    <w:p>
      <w:pPr>
        <w:pStyle w:val="ListBullet"/>
      </w:pPr>
      <w:r>
        <w:t>Prepare partner review materials</w:t>
      </w:r>
    </w:p>
    <w:p>
      <w:pPr>
        <w:pStyle w:val="ListBullet"/>
      </w:pPr>
      <w:r>
        <w:t>Create investor-ready documentation</w:t>
      </w:r>
    </w:p>
    <w:p>
      <w:pPr>
        <w:pStyle w:val="ListBullet"/>
      </w:pPr>
      <w:r>
        <w:t>Develop technical diagrams</w:t>
      </w:r>
    </w:p>
    <w:p>
      <w:pPr>
        <w:pStyle w:val="ListBullet"/>
      </w:pPr>
      <w:r>
        <w:t>Prepare demo walkthrough and presentation scripts</w:t>
      </w:r>
    </w:p>
    <w:p>
      <w:pPr>
        <w:pStyle w:val="Heading2"/>
      </w:pPr>
      <w:r>
        <w:t>Laboratory Expansion</w:t>
      </w:r>
    </w:p>
    <w:p>
      <w:pPr>
        <w:pStyle w:val="ListBullet"/>
      </w:pPr>
      <w:r>
        <w:t>Support research staff</w:t>
      </w:r>
    </w:p>
    <w:p>
      <w:pPr>
        <w:pStyle w:val="ListBullet"/>
      </w:pPr>
      <w:r>
        <w:t>Support interface development</w:t>
      </w:r>
    </w:p>
    <w:p>
      <w:pPr>
        <w:pStyle w:val="ListBullet"/>
      </w:pPr>
      <w:r>
        <w:t>Support simulation tooling</w:t>
      </w:r>
    </w:p>
    <w:p>
      <w:pPr>
        <w:pStyle w:val="ListBullet"/>
      </w:pPr>
      <w:r>
        <w:t>Prepare future custom autonomy projects</w:t>
      </w:r>
    </w:p>
    <w:p>
      <w:pPr>
        <w:pStyle w:val="Heading1"/>
      </w:pPr>
      <w:r>
        <w:t>5. Development Phases</w:t>
      </w:r>
    </w:p>
    <w:tbl>
      <w:tblPr>
        <w:tblStyle w:val="TableGrid"/>
        <w:tblW w:type="auto" w:w="0"/>
        <w:tblLook w:firstColumn="1" w:firstRow="1" w:lastColumn="0" w:lastRow="0" w:noHBand="0" w:noVBand="1" w:val="04A0"/>
      </w:tblPr>
      <w:tblGrid>
        <w:gridCol w:w="3408"/>
        <w:gridCol w:w="3408"/>
        <w:gridCol w:w="3408"/>
      </w:tblGrid>
      <w:tr>
        <w:tc>
          <w:tcPr>
            <w:tcW w:type="dxa" w:w="3408"/>
            <w:shd w:fill="0B1A2A"/>
          </w:tcPr>
          <w:p>
            <w:r/>
            <w:r>
              <w:rPr>
                <w:b/>
                <w:color w:val="FFFFFF"/>
                <w:sz w:val="18"/>
              </w:rPr>
              <w:t>Phase</w:t>
            </w:r>
          </w:p>
        </w:tc>
        <w:tc>
          <w:tcPr>
            <w:tcW w:type="dxa" w:w="3408"/>
            <w:shd w:fill="0B1A2A"/>
          </w:tcPr>
          <w:p>
            <w:r/>
            <w:r>
              <w:rPr>
                <w:b/>
                <w:color w:val="FFFFFF"/>
                <w:sz w:val="18"/>
              </w:rPr>
              <w:t>Objective</w:t>
            </w:r>
          </w:p>
        </w:tc>
        <w:tc>
          <w:tcPr>
            <w:tcW w:type="dxa" w:w="3408"/>
            <w:shd w:fill="0B1A2A"/>
          </w:tcPr>
          <w:p>
            <w:r/>
            <w:r>
              <w:rPr>
                <w:b/>
                <w:color w:val="FFFFFF"/>
                <w:sz w:val="18"/>
              </w:rPr>
              <w:t>Outputs</w:t>
            </w:r>
          </w:p>
        </w:tc>
      </w:tr>
      <w:tr>
        <w:tc>
          <w:tcPr>
            <w:tcW w:type="dxa" w:w="3408"/>
          </w:tcPr>
          <w:p>
            <w:r>
              <w:t>Phase 1 - Research Consolidation</w:t>
            </w:r>
          </w:p>
        </w:tc>
        <w:tc>
          <w:tcPr>
            <w:tcW w:type="dxa" w:w="3408"/>
          </w:tcPr>
          <w:p>
            <w:r>
              <w:t>Unify architecture, demo and documentation</w:t>
            </w:r>
          </w:p>
        </w:tc>
        <w:tc>
          <w:tcPr>
            <w:tcW w:type="dxa" w:w="3408"/>
          </w:tcPr>
          <w:p>
            <w:r>
              <w:t>Technical brief, AI reference, demo package</w:t>
            </w:r>
          </w:p>
        </w:tc>
      </w:tr>
      <w:tr>
        <w:tc>
          <w:tcPr>
            <w:tcW w:type="dxa" w:w="3408"/>
          </w:tcPr>
          <w:p>
            <w:r>
              <w:t>Phase 2 - Prototype Development</w:t>
            </w:r>
          </w:p>
        </w:tc>
        <w:tc>
          <w:tcPr>
            <w:tcW w:type="dxa" w:w="3408"/>
          </w:tcPr>
          <w:p>
            <w:r>
              <w:t>Build modular simulation prototype</w:t>
            </w:r>
          </w:p>
        </w:tc>
        <w:tc>
          <w:tcPr>
            <w:tcW w:type="dxa" w:w="3408"/>
          </w:tcPr>
          <w:p>
            <w:r>
              <w:t>Data model, UI prototype, scenario engine</w:t>
            </w:r>
          </w:p>
        </w:tc>
      </w:tr>
      <w:tr>
        <w:tc>
          <w:tcPr>
            <w:tcW w:type="dxa" w:w="3408"/>
          </w:tcPr>
          <w:p>
            <w:r>
              <w:t>Phase 3 - Controlled Review</w:t>
            </w:r>
          </w:p>
        </w:tc>
        <w:tc>
          <w:tcPr>
            <w:tcW w:type="dxa" w:w="3408"/>
          </w:tcPr>
          <w:p>
            <w:r>
              <w:t>Prepare partner/institutional review</w:t>
            </w:r>
          </w:p>
        </w:tc>
        <w:tc>
          <w:tcPr>
            <w:tcW w:type="dxa" w:w="3408"/>
          </w:tcPr>
          <w:p>
            <w:r>
              <w:t>Validation plan, ethics checklist, partner deck</w:t>
            </w:r>
          </w:p>
        </w:tc>
      </w:tr>
      <w:tr>
        <w:tc>
          <w:tcPr>
            <w:tcW w:type="dxa" w:w="3408"/>
          </w:tcPr>
          <w:p>
            <w:r>
              <w:t>Phase 4 - Expansion</w:t>
            </w:r>
          </w:p>
        </w:tc>
        <w:tc>
          <w:tcPr>
            <w:tcW w:type="dxa" w:w="3408"/>
          </w:tcPr>
          <w:p>
            <w:r>
              <w:t>Scale into laboratory capability</w:t>
            </w:r>
          </w:p>
        </w:tc>
        <w:tc>
          <w:tcPr>
            <w:tcW w:type="dxa" w:w="3408"/>
          </w:tcPr>
          <w:p>
            <w:r>
              <w:t>Team, infrastructure, partnerships</w:t>
            </w:r>
          </w:p>
        </w:tc>
      </w:tr>
    </w:tbl>
    <w:p>
      <w:pPr>
        <w:pStyle w:val="Heading1"/>
      </w:pPr>
      <w:r>
        <w:t>6. Funding Levels</w:t>
      </w:r>
    </w:p>
    <w:p>
      <w:pPr>
        <w:pStyle w:val="ListBullet"/>
      </w:pPr>
      <w:r>
        <w:t>Seed Research Support - documentation, demo consolidation and validation design.</w:t>
      </w:r>
    </w:p>
    <w:p>
      <w:pPr>
        <w:pStyle w:val="ListBullet"/>
      </w:pPr>
      <w:r>
        <w:t>Prototype Development Support - software prototype, simulation tooling and interface design.</w:t>
      </w:r>
    </w:p>
    <w:p>
      <w:pPr>
        <w:pStyle w:val="ListBullet"/>
      </w:pPr>
      <w:r>
        <w:t>Controlled Pilot Support - partner review, scenario validation and institutional preparation.</w:t>
      </w:r>
    </w:p>
    <w:p>
      <w:pPr>
        <w:pStyle w:val="ListBullet"/>
      </w:pPr>
      <w:r>
        <w:t>Laboratory Expansion Support - team, infrastructure, publications and strategic partnerships.</w:t>
      </w:r>
    </w:p>
    <w:p>
      <w:pPr>
        <w:pStyle w:val="Heading1"/>
      </w:pPr>
      <w:r>
        <w:t>7. Strategic Applications</w:t>
      </w:r>
    </w:p>
    <w:p>
      <w:pPr>
        <w:pStyle w:val="ListBullet"/>
      </w:pPr>
      <w:r>
        <w:t>Lunar mission concepts</w:t>
      </w:r>
    </w:p>
    <w:p>
      <w:pPr>
        <w:pStyle w:val="ListBullet"/>
      </w:pPr>
      <w:r>
        <w:t>Autonomous rover systems</w:t>
      </w:r>
    </w:p>
    <w:p>
      <w:pPr>
        <w:pStyle w:val="ListBullet"/>
      </w:pPr>
      <w:r>
        <w:t>Remote robotics</w:t>
      </w:r>
    </w:p>
    <w:p>
      <w:pPr>
        <w:pStyle w:val="ListBullet"/>
      </w:pPr>
      <w:r>
        <w:t>Extreme-environment operations</w:t>
      </w:r>
    </w:p>
    <w:p>
      <w:pPr>
        <w:pStyle w:val="ListBullet"/>
      </w:pPr>
      <w:r>
        <w:t>Human-AI mission control</w:t>
      </w:r>
    </w:p>
    <w:p>
      <w:pPr>
        <w:pStyle w:val="ListBullet"/>
      </w:pPr>
      <w:r>
        <w:t>Defensive logistics and resilience planning</w:t>
      </w:r>
    </w:p>
    <w:p>
      <w:pPr>
        <w:pStyle w:val="ListBullet"/>
      </w:pPr>
      <w:r>
        <w:t>Simulation and training platforms</w:t>
      </w:r>
    </w:p>
    <w:p>
      <w:pPr>
        <w:pStyle w:val="ListBullet"/>
      </w:pPr>
      <w:r>
        <w:t>Custom technology projects for strategic partners</w:t>
      </w:r>
    </w:p>
    <w:p>
      <w:pPr>
        <w:pStyle w:val="Heading1"/>
      </w:pPr>
      <w:r>
        <w:t>8. Investor Relevance</w:t>
      </w:r>
    </w:p>
    <w:p>
      <w:r>
        <w:t>VEHICLE-SUPRA demonstrates that VEHICLE Systems Lab can create a premium technical demo, formal mathematical narrative, investor-ready documentation and a realistic path toward applied technology development. It strengthens the broader VEHICLE ecosystem by showing how the laboratory can move into autonomy, space and extreme-environment systems.</w:t>
      </w:r>
    </w:p>
    <w:p>
      <w:pPr>
        <w:pStyle w:val="Heading1"/>
      </w:pPr>
      <w:r>
        <w:t>9. Ethical and Institutional Safeguards</w:t>
      </w:r>
    </w:p>
    <w:p>
      <w:r>
        <w:t>SUPRA must remain human-supervised, auditable and accountable. It should not be used to remove human responsibility from critical decisions or to create uncontrolled autonomous harm systems.</w:t>
      </w:r>
    </w:p>
    <w:p>
      <w:pPr>
        <w:pStyle w:val="Heading1"/>
      </w:pPr>
      <w:r>
        <w:t>10. Expected Deliverables</w:t>
      </w:r>
    </w:p>
    <w:p>
      <w:pPr>
        <w:pStyle w:val="ListBullet"/>
      </w:pPr>
      <w:r>
        <w:t>SUPRA Technical Brief</w:t>
      </w:r>
    </w:p>
    <w:p>
      <w:pPr>
        <w:pStyle w:val="ListBullet"/>
      </w:pPr>
      <w:r>
        <w:t>SUPRA Funding Brief</w:t>
      </w:r>
    </w:p>
    <w:p>
      <w:pPr>
        <w:pStyle w:val="ListBullet"/>
      </w:pPr>
      <w:r>
        <w:t>SUPRA Operational Cost Plan</w:t>
      </w:r>
    </w:p>
    <w:p>
      <w:pPr>
        <w:pStyle w:val="ListBullet"/>
      </w:pPr>
      <w:r>
        <w:t>SUPRA Demo Package</w:t>
      </w:r>
    </w:p>
    <w:p>
      <w:pPr>
        <w:pStyle w:val="ListBullet"/>
      </w:pPr>
      <w:r>
        <w:t>SUPRA AI Reference File</w:t>
      </w:r>
    </w:p>
    <w:p>
      <w:pPr>
        <w:pStyle w:val="ListBullet"/>
      </w:pPr>
      <w:r>
        <w:t>Scenario validation plan</w:t>
      </w:r>
    </w:p>
    <w:p>
      <w:pPr>
        <w:pStyle w:val="ListBullet"/>
      </w:pPr>
      <w:r>
        <w:t>Recovery and twin activation documentation</w:t>
      </w:r>
    </w:p>
    <w:p>
      <w:pPr>
        <w:pStyle w:val="ListBullet"/>
      </w:pPr>
      <w:r>
        <w:t>Institutional review materials</w:t>
      </w:r>
    </w:p>
    <w:p>
      <w:pPr>
        <w:pStyle w:val="Heading1"/>
      </w:pPr>
      <w:r>
        <w:t>11. Funding Request Statement</w:t>
      </w:r>
    </w:p>
    <w:p>
      <w:r>
        <w:t>VEHICLE Systems Lab seeks funding, strategic investment and institutional partnerships to develop VEHICLE-SUPRA into a validated autonomous resilience prototype track for civil, space, institutional and defensive environments.</w:t>
      </w:r>
    </w:p>
    <w:p>
      <w:pPr>
        <w:pStyle w:val="Heading1"/>
      </w:pPr>
      <w:r>
        <w:t>12. Contact</w:t>
      </w:r>
    </w:p>
    <w:p>
      <w:r>
        <w:t>For investment, strategic partnership, institutional collaboration or technical review: contact@vehiclesystemslab.com</w:t>
      </w:r>
    </w:p>
    <w:p>
      <w:r>
        <w:t>Official website: https://vehiclesystemslab.com</w:t>
      </w:r>
    </w:p>
    <w:sectPr w:rsidR="00FC693F" w:rsidRPr="0006063C" w:rsidSect="00034616">
      <w:footerReference w:type="default" r:id="rId9"/>
      <w:pgSz w:w="12240" w:h="15840"/>
      <w:pgMar w:top="936" w:right="1008" w:bottom="936"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5A5A5A"/>
        <w:sz w:val="16"/>
      </w:rPr>
      <w:t>VEHICLE Systems Lab · VEHICLE-SUPRA · https://vehiclesystemslab.com · contact@vehiclesystemslab.com</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color w:val="0A304C"/>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b/>
      <w:bCs/>
      <w:color w:val="145F82"/>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b/>
      <w:color w:val="17365D" w:themeColor="text2" w:themeShade="BF"/>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