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41926"/>
          <w:sz w:val="52"/>
        </w:rPr>
        <w:t>VEHICLE-SUPRA Technical Brief v1</w:t>
      </w:r>
    </w:p>
    <w:p>
      <w:pPr>
        <w:jc w:val="center"/>
      </w:pPr>
      <w:r>
        <w:rPr>
          <w:b/>
          <w:color w:val="145F82"/>
          <w:sz w:val="28"/>
        </w:rPr>
        <w:t>Autonomous and Extreme Environment Systems</w:t>
      </w:r>
    </w:p>
    <w:p/>
    <w:p>
      <w:pPr>
        <w:jc w:val="center"/>
      </w:pPr>
      <w:r>
        <w:rPr>
          <w:b/>
          <w:color w:val="145F82"/>
          <w:sz w:val="22"/>
        </w:rPr>
        <w:t>TECHNICAL BRIEF</w:t>
      </w:r>
    </w:p>
    <w:tbl>
      <w:tblPr>
        <w:tblStyle w:val="TableGrid"/>
        <w:tblW w:type="auto" w:w="0"/>
        <w:tblLook w:firstColumn="1" w:firstRow="1" w:lastColumn="0" w:lastRow="0" w:noHBand="0" w:noVBand="1" w:val="04A0"/>
      </w:tblPr>
      <w:tblGrid>
        <w:gridCol w:w="5112"/>
        <w:gridCol w:w="5112"/>
      </w:tblGrid>
      <w:tr>
        <w:tc>
          <w:tcPr>
            <w:tcW w:type="dxa" w:w="5112"/>
            <w:shd w:fill="0B1A2A"/>
          </w:tcPr>
          <w:p>
            <w:r/>
            <w:r>
              <w:rPr>
                <w:b/>
                <w:color w:val="FFFFFF"/>
                <w:sz w:val="18"/>
              </w:rPr>
              <w:t>Project</w:t>
            </w:r>
          </w:p>
        </w:tc>
        <w:tc>
          <w:tcPr>
            <w:tcW w:type="dxa" w:w="5112"/>
            <w:shd w:fill="F4F7FA"/>
          </w:tcPr>
          <w:p>
            <w:r>
              <w:rPr>
                <w:sz w:val="18"/>
              </w:rPr>
              <w:t>VEHICLE-SUPRA</w:t>
            </w:r>
          </w:p>
        </w:tc>
      </w:tr>
      <w:tr>
        <w:tc>
          <w:tcPr>
            <w:tcW w:type="dxa" w:w="5112"/>
            <w:shd w:fill="0B1A2A"/>
          </w:tcPr>
          <w:p>
            <w:r/>
            <w:r>
              <w:rPr>
                <w:b/>
                <w:color w:val="FFFFFF"/>
                <w:sz w:val="18"/>
              </w:rPr>
              <w:t>Developed by</w:t>
            </w:r>
          </w:p>
        </w:tc>
        <w:tc>
          <w:tcPr>
            <w:tcW w:type="dxa" w:w="5112"/>
            <w:shd w:fill="F4F7FA"/>
          </w:tcPr>
          <w:p>
            <w:r>
              <w:rPr>
                <w:sz w:val="18"/>
              </w:rPr>
              <w:t>VEHICLE Systems Lab</w:t>
            </w:r>
          </w:p>
        </w:tc>
      </w:tr>
      <w:tr>
        <w:tc>
          <w:tcPr>
            <w:tcW w:type="dxa" w:w="5112"/>
            <w:shd w:fill="0B1A2A"/>
          </w:tcPr>
          <w:p>
            <w:r/>
            <w:r>
              <w:rPr>
                <w:b/>
                <w:color w:val="FFFFFF"/>
                <w:sz w:val="18"/>
              </w:rPr>
              <w:t>Website</w:t>
            </w:r>
          </w:p>
        </w:tc>
        <w:tc>
          <w:tcPr>
            <w:tcW w:type="dxa" w:w="5112"/>
            <w:shd w:fill="F4F7FA"/>
          </w:tcPr>
          <w:p>
            <w:r>
              <w:rPr>
                <w:sz w:val="18"/>
              </w:rPr>
              <w:t>https://vehiclesystemslab.com</w:t>
            </w:r>
          </w:p>
        </w:tc>
      </w:tr>
      <w:tr>
        <w:tc>
          <w:tcPr>
            <w:tcW w:type="dxa" w:w="5112"/>
            <w:shd w:fill="0B1A2A"/>
          </w:tcPr>
          <w:p>
            <w:r/>
            <w:r>
              <w:rPr>
                <w:b/>
                <w:color w:val="FFFFFF"/>
                <w:sz w:val="18"/>
              </w:rPr>
              <w:t>Contact</w:t>
            </w:r>
          </w:p>
        </w:tc>
        <w:tc>
          <w:tcPr>
            <w:tcW w:type="dxa" w:w="5112"/>
            <w:shd w:fill="F4F7FA"/>
          </w:tcPr>
          <w:p>
            <w:r>
              <w:rPr>
                <w:sz w:val="18"/>
              </w:rPr>
              <w:t>contact@vehiclesystemslab.com</w:t>
            </w:r>
          </w:p>
        </w:tc>
      </w:tr>
      <w:tr>
        <w:tc>
          <w:tcPr>
            <w:tcW w:type="dxa" w:w="5112"/>
            <w:shd w:fill="0B1A2A"/>
          </w:tcPr>
          <w:p>
            <w:r/>
            <w:r>
              <w:rPr>
                <w:b/>
                <w:color w:val="FFFFFF"/>
                <w:sz w:val="18"/>
              </w:rPr>
              <w:t>Associated record</w:t>
            </w:r>
          </w:p>
        </w:tc>
        <w:tc>
          <w:tcPr>
            <w:tcW w:type="dxa" w:w="5112"/>
            <w:shd w:fill="F4F7FA"/>
          </w:tcPr>
          <w:p>
            <w:r>
              <w:rPr>
                <w:sz w:val="18"/>
              </w:rPr>
              <w:t>DOI 10.5281/zenodo.19981738</w:t>
            </w:r>
          </w:p>
        </w:tc>
      </w:tr>
      <w:tr>
        <w:tc>
          <w:tcPr>
            <w:tcW w:type="dxa" w:w="5112"/>
            <w:shd w:fill="0B1A2A"/>
          </w:tcPr>
          <w:p>
            <w:r/>
            <w:r>
              <w:rPr>
                <w:b/>
                <w:color w:val="FFFFFF"/>
                <w:sz w:val="18"/>
              </w:rPr>
              <w:t>Status</w:t>
            </w:r>
          </w:p>
        </w:tc>
        <w:tc>
          <w:tcPr>
            <w:tcW w:type="dxa" w:w="5112"/>
            <w:shd w:fill="F4F7FA"/>
          </w:tcPr>
          <w:p>
            <w:r>
              <w:rPr>
                <w:sz w:val="18"/>
              </w:rPr>
              <w:t>Experimental architecture, premium HTML demo and investor-ready concept</w:t>
            </w:r>
          </w:p>
        </w:tc>
      </w:tr>
    </w:tbl>
    <w:p/>
    <w:p>
      <w:pPr>
        <w:pStyle w:val="Heading1"/>
      </w:pPr>
      <w:r>
        <w:t>Executive Summary</w:t>
      </w:r>
    </w:p>
    <w:p>
      <w:r>
        <w:t>VEHICLE-SUPRA is an experimental architecture for autonomous systems, lunar-oriented models, extreme environments and advanced operational interfaces. It explores how structural intelligence can support systems operating under distance, uncertainty, autonomy, delay and limited human intervention.</w:t>
      </w:r>
    </w:p>
    <w:p>
      <w:r>
        <w:t>The current demo presents a premium lunar command surface where rover nodes are represented through E.I.A.R.(V) state vectors, systemic tension T(X), network cohesion, fault injection, recovery operators and twin-node activation. This makes SUPRA a tangible demonstration of VEHICLE Systems Lab as a technology research laboratory, not only a software concept.</w:t>
      </w:r>
    </w:p>
    <w:p>
      <w:pPr>
        <w:pStyle w:val="Heading1"/>
      </w:pPr>
      <w:r>
        <w:t>1. One-Sentence Definition</w:t>
      </w:r>
    </w:p>
    <w:p>
      <w:r>
        <w:t>VEHICLE-SUPRA is an auditable experimental architecture for autonomous and extreme-environment systems, designed to model resilience, recovery, twin activation and traceable mission behavior under complex operational pressure.</w:t>
      </w:r>
    </w:p>
    <w:p>
      <w:pPr>
        <w:pStyle w:val="Heading1"/>
      </w:pPr>
      <w:r>
        <w:t>2. What It Is</w:t>
      </w:r>
    </w:p>
    <w:p>
      <w:r>
        <w:t>VEHICLE-SUPRA is a project of VEHICLE Systems Lab focused on advanced operational environments. It applies the VEHICLE structural logic to autonomous systems, lunar concepts, remote operations and extreme conditions where direct human control may be delayed or limited.</w:t>
      </w:r>
    </w:p>
    <w:p>
      <w:pPr>
        <w:pStyle w:val="ListBullet"/>
      </w:pPr>
      <w:r>
        <w:t>Autonomous and remote system modeling</w:t>
      </w:r>
    </w:p>
    <w:p>
      <w:pPr>
        <w:pStyle w:val="ListBullet"/>
      </w:pPr>
      <w:r>
        <w:t>Lunar and extreme-environment mission concepts</w:t>
      </w:r>
    </w:p>
    <w:p>
      <w:pPr>
        <w:pStyle w:val="ListBullet"/>
      </w:pPr>
      <w:r>
        <w:t>E.I.A.R.(V) state vector visualization</w:t>
      </w:r>
    </w:p>
    <w:p>
      <w:pPr>
        <w:pStyle w:val="ListBullet"/>
      </w:pPr>
      <w:r>
        <w:t>Systemic tension monitoring through T(X)</w:t>
      </w:r>
    </w:p>
    <w:p>
      <w:pPr>
        <w:pStyle w:val="ListBullet"/>
      </w:pPr>
      <w:r>
        <w:t>Recovery operator and twin-node logic</w:t>
      </w:r>
    </w:p>
    <w:p>
      <w:pPr>
        <w:pStyle w:val="ListBullet"/>
      </w:pPr>
      <w:r>
        <w:t>Human-AI mission supervision and auditability</w:t>
      </w:r>
    </w:p>
    <w:p>
      <w:pPr>
        <w:pStyle w:val="Heading1"/>
      </w:pPr>
      <w:r>
        <w:t>3. The Problem It Solves</w:t>
      </w:r>
    </w:p>
    <w:p>
      <w:r>
        <w:t>Autonomous systems in extreme environments must remain coherent when communication is delayed, terrain is hostile, state variables drift and immediate human intervention is impossible. SUPRA addresses this question: how can autonomous or remote systems preserve coherence, traceability and recovery capacity when operating under extreme uncertainty?</w:t>
      </w:r>
    </w:p>
    <w:p>
      <w:pPr>
        <w:pStyle w:val="Heading1"/>
      </w:pPr>
      <w:r>
        <w:t>4. Current Demo Evidence</w:t>
      </w:r>
    </w:p>
    <w:p>
      <w:r>
        <w:t>The current premium HTML demo is titled VEHICLE-SUPRA - Lunar Command Surface. It visualizes a lunar rover network, active nodes, network cohesion, faulted nodes, twin activations, E.I.A.R.(V) radar, T(X) timeline, recovery operator, A0-A6 regimes and fault/cascade scenarios.</w:t>
      </w:r>
    </w:p>
    <w:p>
      <w:pPr>
        <w:pStyle w:val="ListBullet"/>
      </w:pPr>
      <w:r>
        <w:t>Lunar rover network with four rover nodes</w:t>
      </w:r>
    </w:p>
    <w:p>
      <w:pPr>
        <w:pStyle w:val="ListBullet"/>
      </w:pPr>
      <w:r>
        <w:t>School, university and PhD explanation layers</w:t>
      </w:r>
    </w:p>
    <w:p>
      <w:pPr>
        <w:pStyle w:val="ListBullet"/>
      </w:pPr>
      <w:r>
        <w:t>State vector S_i(t) = (E_i, I_i, A_i, R_i, V_i)</w:t>
      </w:r>
    </w:p>
    <w:p>
      <w:pPr>
        <w:pStyle w:val="ListBullet"/>
      </w:pPr>
      <w:r>
        <w:t>Tension function T(X) = T_ext + T_int</w:t>
      </w:r>
    </w:p>
    <w:p>
      <w:pPr>
        <w:pStyle w:val="ListBullet"/>
      </w:pPr>
      <w:r>
        <w:t>Recovery operator V_op and admissible region K</w:t>
      </w:r>
    </w:p>
    <w:p>
      <w:pPr>
        <w:pStyle w:val="ListBullet"/>
      </w:pPr>
      <w:r>
        <w:t>A0-A6 operational regimes</w:t>
      </w:r>
    </w:p>
    <w:p>
      <w:pPr>
        <w:pStyle w:val="ListBullet"/>
      </w:pPr>
      <w:r>
        <w:t>Fault injection and cascade simulation</w:t>
      </w:r>
    </w:p>
    <w:p>
      <w:pPr>
        <w:pStyle w:val="ListBullet"/>
      </w:pPr>
      <w:r>
        <w:t>Twin-spawn recovery visualization</w:t>
      </w:r>
    </w:p>
    <w:p>
      <w:pPr>
        <w:pStyle w:val="Heading1"/>
      </w:pPr>
      <w:r>
        <w:t>5. Core Architecture</w:t>
      </w:r>
    </w:p>
    <w:p>
      <w:pPr>
        <w:pStyle w:val="Heading2"/>
      </w:pPr>
      <w:r>
        <w:t>Autonomous Structure Layer</w:t>
      </w:r>
    </w:p>
    <w:p>
      <w:r>
        <w:t>Organizes system behavior, constraints, node states and decision contexts.</w:t>
      </w:r>
    </w:p>
    <w:p>
      <w:pPr>
        <w:pStyle w:val="Heading2"/>
      </w:pPr>
      <w:r>
        <w:t>Extreme Environment Layer</w:t>
      </w:r>
    </w:p>
    <w:p>
      <w:r>
        <w:t>Frames uncertainty, terrain, distance, radiation, isolation, latency and hostile volatility.</w:t>
      </w:r>
    </w:p>
    <w:p>
      <w:pPr>
        <w:pStyle w:val="Heading2"/>
      </w:pPr>
      <w:r>
        <w:t>Mission Logic Layer</w:t>
      </w:r>
    </w:p>
    <w:p>
      <w:r>
        <w:t>Represents operational objectives, dependencies, mission phases and decision checkpoints.</w:t>
      </w:r>
    </w:p>
    <w:p>
      <w:pPr>
        <w:pStyle w:val="Heading2"/>
      </w:pPr>
      <w:r>
        <w:t>Human-AI Coordination Layer</w:t>
      </w:r>
    </w:p>
    <w:p>
      <w:r>
        <w:t>Defines how human supervision and autonomous assistance interact under delay.</w:t>
      </w:r>
    </w:p>
    <w:p>
      <w:pPr>
        <w:pStyle w:val="Heading2"/>
      </w:pPr>
      <w:r>
        <w:t>Recovery and Twin Layer</w:t>
      </w:r>
    </w:p>
    <w:p>
      <w:r>
        <w:t>Models self-repair through the recovery operator and twin activation when thresholds are exceeded.</w:t>
      </w:r>
    </w:p>
    <w:p>
      <w:pPr>
        <w:pStyle w:val="Heading2"/>
      </w:pPr>
      <w:r>
        <w:t>Audit Layer</w:t>
      </w:r>
    </w:p>
    <w:p>
      <w:r>
        <w:t>Preserves traceability of states, faults, recovery decisions and mission events.</w:t>
      </w:r>
    </w:p>
    <w:p>
      <w:pPr>
        <w:pStyle w:val="Heading1"/>
      </w:pPr>
      <w:r>
        <w:t>6. Mathematical Logic</w:t>
      </w:r>
    </w:p>
    <w:p>
      <w:r>
        <w:t>SUPRA uses the E.I.A.R.(V) state vector to represent rover condition and mission role: S_i(t) = (E_i, I_i, A_i, R_i, V_i) in [0,1]^5. The demo includes systemic tension T(X) = T_ext + T_int, where T_ext represents relational tension between neighboring nodes and T_int represents internal imbalance through the centered projection P_- S_i.</w:t>
      </w:r>
    </w:p>
    <w:p>
      <w:r>
        <w:t>The recovery operator V_op projects a degraded state back toward the admissible region K. If recovery cannot converge in time, the architecture can represent twin-node activation as a resilience mechanism.</w:t>
      </w:r>
    </w:p>
    <w:p>
      <w:pPr>
        <w:pStyle w:val="Heading1"/>
      </w:pPr>
      <w:r>
        <w:t>7. Operational Regimes A0-A6</w:t>
      </w:r>
    </w:p>
    <w:tbl>
      <w:tblPr>
        <w:tblStyle w:val="TableGrid"/>
        <w:tblW w:type="auto" w:w="0"/>
        <w:tblLook w:firstColumn="1" w:firstRow="1" w:lastColumn="0" w:lastRow="0" w:noHBand="0" w:noVBand="1" w:val="04A0"/>
      </w:tblPr>
      <w:tblGrid>
        <w:gridCol w:w="3408"/>
        <w:gridCol w:w="3408"/>
        <w:gridCol w:w="3408"/>
      </w:tblGrid>
      <w:tr>
        <w:tc>
          <w:tcPr>
            <w:tcW w:type="dxa" w:w="3408"/>
            <w:shd w:fill="0B1A2A"/>
          </w:tcPr>
          <w:p>
            <w:r/>
            <w:r>
              <w:rPr>
                <w:b/>
                <w:color w:val="FFFFFF"/>
                <w:sz w:val="18"/>
              </w:rPr>
              <w:t>Regime</w:t>
            </w:r>
          </w:p>
        </w:tc>
        <w:tc>
          <w:tcPr>
            <w:tcW w:type="dxa" w:w="3408"/>
            <w:shd w:fill="0B1A2A"/>
          </w:tcPr>
          <w:p>
            <w:r/>
            <w:r>
              <w:rPr>
                <w:b/>
                <w:color w:val="FFFFFF"/>
                <w:sz w:val="18"/>
              </w:rPr>
              <w:t>Condition</w:t>
            </w:r>
          </w:p>
        </w:tc>
        <w:tc>
          <w:tcPr>
            <w:tcW w:type="dxa" w:w="3408"/>
            <w:shd w:fill="0B1A2A"/>
          </w:tcPr>
          <w:p>
            <w:r/>
            <w:r>
              <w:rPr>
                <w:b/>
                <w:color w:val="FFFFFF"/>
                <w:sz w:val="18"/>
              </w:rPr>
              <w:t>Protocol</w:t>
            </w:r>
          </w:p>
        </w:tc>
      </w:tr>
      <w:tr>
        <w:tc>
          <w:tcPr>
            <w:tcW w:type="dxa" w:w="3408"/>
          </w:tcPr>
          <w:p>
            <w:r>
              <w:t>A0</w:t>
            </w:r>
          </w:p>
        </w:tc>
        <w:tc>
          <w:tcPr>
            <w:tcW w:type="dxa" w:w="3408"/>
          </w:tcPr>
          <w:p>
            <w:r>
              <w:t>Stable field</w:t>
            </w:r>
          </w:p>
        </w:tc>
        <w:tc>
          <w:tcPr>
            <w:tcW w:type="dxa" w:w="3408"/>
          </w:tcPr>
          <w:p>
            <w:r>
              <w:t>Nominal operation</w:t>
            </w:r>
          </w:p>
        </w:tc>
      </w:tr>
      <w:tr>
        <w:tc>
          <w:tcPr>
            <w:tcW w:type="dxa" w:w="3408"/>
          </w:tcPr>
          <w:p>
            <w:r>
              <w:t>A1</w:t>
            </w:r>
          </w:p>
        </w:tc>
        <w:tc>
          <w:tcPr>
            <w:tcW w:type="dxa" w:w="3408"/>
          </w:tcPr>
          <w:p>
            <w:r>
              <w:t>Rising external tension</w:t>
            </w:r>
          </w:p>
        </w:tc>
        <w:tc>
          <w:tcPr>
            <w:tcW w:type="dxa" w:w="3408"/>
          </w:tcPr>
          <w:p>
            <w:r>
              <w:t>Validate and monitor</w:t>
            </w:r>
          </w:p>
        </w:tc>
      </w:tr>
      <w:tr>
        <w:tc>
          <w:tcPr>
            <w:tcW w:type="dxa" w:w="3408"/>
          </w:tcPr>
          <w:p>
            <w:r>
              <w:t>A2</w:t>
            </w:r>
          </w:p>
        </w:tc>
        <w:tc>
          <w:tcPr>
            <w:tcW w:type="dxa" w:w="3408"/>
          </w:tcPr>
          <w:p>
            <w:r>
              <w:t>Tension drops after recovery</w:t>
            </w:r>
          </w:p>
        </w:tc>
        <w:tc>
          <w:tcPr>
            <w:tcW w:type="dxa" w:w="3408"/>
          </w:tcPr>
          <w:p>
            <w:r>
              <w:t>Continue monitoring</w:t>
            </w:r>
          </w:p>
        </w:tc>
      </w:tr>
      <w:tr>
        <w:tc>
          <w:tcPr>
            <w:tcW w:type="dxa" w:w="3408"/>
          </w:tcPr>
          <w:p>
            <w:r>
              <w:t>A3</w:t>
            </w:r>
          </w:p>
        </w:tc>
        <w:tc>
          <w:tcPr>
            <w:tcW w:type="dxa" w:w="3408"/>
          </w:tcPr>
          <w:p>
            <w:r>
              <w:t>Internal incoherence</w:t>
            </w:r>
          </w:p>
        </w:tc>
        <w:tc>
          <w:tcPr>
            <w:tcW w:type="dxa" w:w="3408"/>
          </w:tcPr>
          <w:p>
            <w:r>
              <w:t>Operator recovery</w:t>
            </w:r>
          </w:p>
        </w:tc>
      </w:tr>
      <w:tr>
        <w:tc>
          <w:tcPr>
            <w:tcW w:type="dxa" w:w="3408"/>
          </w:tcPr>
          <w:p>
            <w:r>
              <w:t>A4</w:t>
            </w:r>
          </w:p>
        </w:tc>
        <w:tc>
          <w:tcPr>
            <w:tcW w:type="dxa" w:w="3408"/>
          </w:tcPr>
          <w:p>
            <w:r>
              <w:t>Disconnected degree</w:t>
            </w:r>
          </w:p>
        </w:tc>
        <w:tc>
          <w:tcPr>
            <w:tcW w:type="dxa" w:w="3408"/>
          </w:tcPr>
          <w:p>
            <w:r>
              <w:t>Standby / isolate</w:t>
            </w:r>
          </w:p>
        </w:tc>
      </w:tr>
      <w:tr>
        <w:tc>
          <w:tcPr>
            <w:tcW w:type="dxa" w:w="3408"/>
          </w:tcPr>
          <w:p>
            <w:r>
              <w:t>A5</w:t>
            </w:r>
          </w:p>
        </w:tc>
        <w:tc>
          <w:tcPr>
            <w:tcW w:type="dxa" w:w="3408"/>
          </w:tcPr>
          <w:p>
            <w:r>
              <w:t>High imbalance or slow recovery</w:t>
            </w:r>
          </w:p>
        </w:tc>
        <w:tc>
          <w:tcPr>
            <w:tcW w:type="dxa" w:w="3408"/>
          </w:tcPr>
          <w:p>
            <w:r>
              <w:t>Twin spawn</w:t>
            </w:r>
          </w:p>
        </w:tc>
      </w:tr>
      <w:tr>
        <w:tc>
          <w:tcPr>
            <w:tcW w:type="dxa" w:w="3408"/>
          </w:tcPr>
          <w:p>
            <w:r>
              <w:t>A6</w:t>
            </w:r>
          </w:p>
        </w:tc>
        <w:tc>
          <w:tcPr>
            <w:tcW w:type="dxa" w:w="3408"/>
          </w:tcPr>
          <w:p>
            <w:r>
              <w:t>Multi-node escalation</w:t>
            </w:r>
          </w:p>
        </w:tc>
        <w:tc>
          <w:tcPr>
            <w:tcW w:type="dxa" w:w="3408"/>
          </w:tcPr>
          <w:p>
            <w:r>
              <w:t>Isolate and preserve mission continuity</w:t>
            </w:r>
          </w:p>
        </w:tc>
      </w:tr>
    </w:tbl>
    <w:p>
      <w:pPr>
        <w:pStyle w:val="Heading1"/>
      </w:pPr>
      <w:r>
        <w:t>8. Applications</w:t>
      </w:r>
    </w:p>
    <w:p>
      <w:pPr>
        <w:pStyle w:val="ListBullet"/>
      </w:pPr>
      <w:r>
        <w:t>Lunar rover operations and mission concepts</w:t>
      </w:r>
    </w:p>
    <w:p>
      <w:pPr>
        <w:pStyle w:val="ListBullet"/>
      </w:pPr>
      <w:r>
        <w:t>Autonomous system resilience</w:t>
      </w:r>
    </w:p>
    <w:p>
      <w:pPr>
        <w:pStyle w:val="ListBullet"/>
      </w:pPr>
      <w:r>
        <w:t>Remote robotics and extreme terrain</w:t>
      </w:r>
    </w:p>
    <w:p>
      <w:pPr>
        <w:pStyle w:val="ListBullet"/>
      </w:pPr>
      <w:r>
        <w:t>Disaster-zone and inaccessible environments</w:t>
      </w:r>
    </w:p>
    <w:p>
      <w:pPr>
        <w:pStyle w:val="ListBullet"/>
      </w:pPr>
      <w:r>
        <w:t>Human-AI mission control</w:t>
      </w:r>
    </w:p>
    <w:p>
      <w:pPr>
        <w:pStyle w:val="ListBullet"/>
      </w:pPr>
      <w:r>
        <w:t>Defensive logistics and strategic autonomy</w:t>
      </w:r>
    </w:p>
    <w:p>
      <w:pPr>
        <w:pStyle w:val="ListBullet"/>
      </w:pPr>
      <w:r>
        <w:t>Advanced interface prototypes</w:t>
      </w:r>
    </w:p>
    <w:p>
      <w:pPr>
        <w:pStyle w:val="ListBullet"/>
      </w:pPr>
      <w:r>
        <w:t>Simulation and training environments</w:t>
      </w:r>
    </w:p>
    <w:p>
      <w:pPr>
        <w:pStyle w:val="Heading1"/>
      </w:pPr>
      <w:r>
        <w:t>9. Ethical Boundaries</w:t>
      </w:r>
    </w:p>
    <w:p>
      <w:r>
        <w:t>VEHICLE-SUPRA is designed for auditable autonomy and human-supervised operational intelligence. It must not be used to remove accountability from critical decisions or to build uncontrolled autonomous harm systems. Proper use is scientific, exploratory, defensive, safety-oriented and human-supervised.</w:t>
      </w:r>
    </w:p>
    <w:p>
      <w:pPr>
        <w:pStyle w:val="Heading1"/>
      </w:pPr>
      <w:r>
        <w:t>10. Current Development Status</w:t>
      </w:r>
    </w:p>
    <w:p>
      <w:pPr>
        <w:pStyle w:val="ListBullet"/>
      </w:pPr>
      <w:r>
        <w:t>Premium HTML demo available</w:t>
      </w:r>
    </w:p>
    <w:p>
      <w:pPr>
        <w:pStyle w:val="ListBullet"/>
      </w:pPr>
      <w:r>
        <w:t>Lunar command surface concept defined</w:t>
      </w:r>
    </w:p>
    <w:p>
      <w:pPr>
        <w:pStyle w:val="ListBullet"/>
      </w:pPr>
      <w:r>
        <w:t>E.I.A.R.(V) model represented visually</w:t>
      </w:r>
    </w:p>
    <w:p>
      <w:pPr>
        <w:pStyle w:val="ListBullet"/>
      </w:pPr>
      <w:r>
        <w:t>Fault and cascade scenarios implemented in demo</w:t>
      </w:r>
    </w:p>
    <w:p>
      <w:pPr>
        <w:pStyle w:val="ListBullet"/>
      </w:pPr>
      <w:r>
        <w:t>Recovery and twin logic represented</w:t>
      </w:r>
    </w:p>
    <w:p>
      <w:pPr>
        <w:pStyle w:val="ListBullet"/>
      </w:pPr>
      <w:r>
        <w:t>AI reference file prepared</w:t>
      </w:r>
    </w:p>
    <w:p>
      <w:pPr>
        <w:pStyle w:val="ListBullet"/>
      </w:pPr>
      <w:r>
        <w:t>Funding and operational documents prepared</w:t>
      </w:r>
    </w:p>
    <w:p>
      <w:pPr>
        <w:pStyle w:val="ListBullet"/>
      </w:pPr>
      <w:r>
        <w:t>Demo package ready for website publication</w:t>
      </w:r>
    </w:p>
    <w:p>
      <w:pPr>
        <w:pStyle w:val="Heading1"/>
      </w:pPr>
      <w:r>
        <w:t>11. Next Technical Steps</w:t>
      </w:r>
    </w:p>
    <w:p>
      <w:pPr>
        <w:pStyle w:val="ListNumber"/>
      </w:pPr>
      <w:r>
        <w:t>Publish the SUPRA demo package on the official website.</w:t>
      </w:r>
    </w:p>
    <w:p>
      <w:pPr>
        <w:pStyle w:val="ListNumber"/>
      </w:pPr>
      <w:r>
        <w:t>Prepare validation scenarios for fault, recovery, cascade and twin activation.</w:t>
      </w:r>
    </w:p>
    <w:p>
      <w:pPr>
        <w:pStyle w:val="ListNumber"/>
      </w:pPr>
      <w:r>
        <w:t>Create diagrams for state vector logic, recovery operator and mission layers.</w:t>
      </w:r>
    </w:p>
    <w:p>
      <w:pPr>
        <w:pStyle w:val="ListNumber"/>
      </w:pPr>
      <w:r>
        <w:t>Develop a lightweight data model for simulated autonomous mission states.</w:t>
      </w:r>
    </w:p>
    <w:p>
      <w:pPr>
        <w:pStyle w:val="ListNumber"/>
      </w:pPr>
      <w:r>
        <w:t>Prepare partnerships with space, robotics or extreme-environment institutions.</w:t>
      </w:r>
    </w:p>
    <w:p>
      <w:pPr>
        <w:pStyle w:val="Heading1"/>
      </w:pPr>
      <w:r>
        <w:t>12. Recommended Download Files</w:t>
      </w:r>
    </w:p>
    <w:p>
      <w:pPr>
        <w:pStyle w:val="ListBullet"/>
      </w:pPr>
      <w:r>
        <w:t>Technical Brief: /downloads/supra/VEHICLE-SUPRA-Technical-Brief.pdf</w:t>
      </w:r>
    </w:p>
    <w:p>
      <w:pPr>
        <w:pStyle w:val="ListBullet"/>
      </w:pPr>
      <w:r>
        <w:t>Demo Package: /downloads/supra/VEHICLE-SUPRA-Demo-Package.zip</w:t>
      </w:r>
    </w:p>
    <w:p>
      <w:pPr>
        <w:pStyle w:val="ListBullet"/>
      </w:pPr>
      <w:r>
        <w:t>Funding Brief: /downloads/supra/VEHICLE-SUPRA-Funding-Brief.pdf</w:t>
      </w:r>
    </w:p>
    <w:p>
      <w:pPr>
        <w:pStyle w:val="ListBullet"/>
      </w:pPr>
      <w:r>
        <w:t>Operational Cost Plan: /downloads/supra/VEHICLE-SUPRA-Operational-Costs.pdf</w:t>
      </w:r>
    </w:p>
    <w:p>
      <w:pPr>
        <w:pStyle w:val="ListBullet"/>
      </w:pPr>
      <w:r>
        <w:t>AI Reference File: /vehicle-supra-ai-reference.txt</w:t>
      </w:r>
    </w:p>
    <w:p>
      <w:pPr>
        <w:pStyle w:val="Heading1"/>
      </w:pPr>
      <w:r>
        <w:t>13. Contact</w:t>
      </w:r>
    </w:p>
    <w:p>
      <w:r>
        <w:t>For research, investment, institutional collaboration, custom technology projects or technical review: contact@vehiclesystemslab.com</w:t>
      </w:r>
    </w:p>
    <w:p>
      <w:r>
        <w:t>Official website: https://vehiclesystemslab.com</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A5A5A"/>
        <w:sz w:val="16"/>
      </w:rPr>
      <w:t>VEHICLE Systems Lab · VEHICLE-SUPRA · https://vehiclesystemslab.com · contact@vehiclesystemslab.com</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A304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45F82"/>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